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101EB7" w14:textId="77777777" w:rsidR="004F59BD" w:rsidRPr="00F95304" w:rsidRDefault="00E91AEC" w:rsidP="00C34F06">
      <w:pPr>
        <w:spacing w:line="480" w:lineRule="auto"/>
        <w:jc w:val="center"/>
        <w:rPr>
          <w:color w:val="000000" w:themeColor="text1"/>
        </w:rPr>
      </w:pPr>
      <w:r w:rsidRPr="00F95304">
        <w:rPr>
          <w:color w:val="000000" w:themeColor="text1"/>
        </w:rPr>
        <w:t>Language Analysis</w:t>
      </w:r>
    </w:p>
    <w:p w14:paraId="7C046024" w14:textId="2DAB645B" w:rsidR="00A4378F" w:rsidRPr="00F95304" w:rsidRDefault="00AA3019" w:rsidP="00C34F06">
      <w:pPr>
        <w:pStyle w:val="p1"/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F95304">
        <w:rPr>
          <w:rFonts w:ascii="Times New Roman" w:hAnsi="Times New Roman"/>
          <w:color w:val="000000" w:themeColor="text1"/>
          <w:sz w:val="24"/>
          <w:szCs w:val="24"/>
        </w:rPr>
        <w:tab/>
        <w:t xml:space="preserve">Language is </w:t>
      </w:r>
      <w:r w:rsidR="00E72B0B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one of </w:t>
      </w:r>
      <w:r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the most necessary </w:t>
      </w:r>
      <w:r w:rsidR="00E72B0B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features when we are </w:t>
      </w:r>
      <w:r w:rsidR="008306E5" w:rsidRPr="00F95304">
        <w:rPr>
          <w:rFonts w:ascii="Times New Roman" w:hAnsi="Times New Roman"/>
          <w:color w:val="000000" w:themeColor="text1"/>
          <w:sz w:val="24"/>
          <w:szCs w:val="24"/>
        </w:rPr>
        <w:t>authoring an academic writing</w:t>
      </w:r>
      <w:r w:rsidR="00631195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8306E5" w:rsidRPr="00F95304"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026106" w:rsidRPr="00F95304">
        <w:rPr>
          <w:rFonts w:ascii="Times New Roman" w:hAnsi="Times New Roman"/>
          <w:color w:val="000000" w:themeColor="text1"/>
          <w:sz w:val="24"/>
          <w:szCs w:val="24"/>
        </w:rPr>
        <w:t>e can</w:t>
      </w:r>
      <w:r w:rsidR="002042E5" w:rsidRPr="00F95304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5C7C1D">
        <w:rPr>
          <w:rFonts w:ascii="Times New Roman" w:hAnsi="Times New Roman"/>
          <w:color w:val="000000" w:themeColor="text1"/>
          <w:sz w:val="24"/>
          <w:szCs w:val="24"/>
        </w:rPr>
        <w:t xml:space="preserve">view that why an </w:t>
      </w:r>
      <w:r w:rsidR="002042E5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article can </w:t>
      </w:r>
      <w:r w:rsidR="00D93890">
        <w:rPr>
          <w:rFonts w:ascii="Times New Roman" w:hAnsi="Times New Roman"/>
          <w:color w:val="000000" w:themeColor="text1"/>
          <w:sz w:val="24"/>
          <w:szCs w:val="24"/>
        </w:rPr>
        <w:t xml:space="preserve">be successful </w:t>
      </w:r>
      <w:r w:rsidR="002042E5" w:rsidRPr="00F95304">
        <w:rPr>
          <w:rFonts w:ascii="Times New Roman" w:hAnsi="Times New Roman"/>
          <w:color w:val="000000" w:themeColor="text1"/>
          <w:sz w:val="24"/>
          <w:szCs w:val="24"/>
        </w:rPr>
        <w:t>is because it</w:t>
      </w:r>
      <w:r w:rsidR="008306E5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042E5" w:rsidRPr="00F95304">
        <w:rPr>
          <w:rFonts w:ascii="Times New Roman" w:hAnsi="Times New Roman"/>
          <w:color w:val="000000" w:themeColor="text1"/>
          <w:sz w:val="24"/>
          <w:szCs w:val="24"/>
        </w:rPr>
        <w:t>has</w:t>
      </w:r>
      <w:r w:rsidR="005E0CE2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a </w:t>
      </w:r>
      <w:r w:rsidR="00057598" w:rsidRPr="00F95304">
        <w:rPr>
          <w:rFonts w:ascii="Times New Roman" w:hAnsi="Times New Roman"/>
          <w:color w:val="000000" w:themeColor="text1"/>
          <w:sz w:val="24"/>
          <w:szCs w:val="24"/>
        </w:rPr>
        <w:t>standard</w:t>
      </w:r>
      <w:r w:rsidR="00D93890">
        <w:rPr>
          <w:rFonts w:ascii="Times New Roman" w:hAnsi="Times New Roman"/>
          <w:color w:val="000000" w:themeColor="text1"/>
          <w:sz w:val="24"/>
          <w:szCs w:val="24"/>
        </w:rPr>
        <w:t xml:space="preserve"> and great</w:t>
      </w:r>
      <w:r w:rsidR="00DF54DE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306E5" w:rsidRPr="00F95304">
        <w:rPr>
          <w:rFonts w:ascii="Times New Roman" w:hAnsi="Times New Roman"/>
          <w:color w:val="000000" w:themeColor="text1"/>
          <w:sz w:val="24"/>
          <w:szCs w:val="24"/>
        </w:rPr>
        <w:t>language</w:t>
      </w:r>
      <w:r w:rsidR="002042E5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7F4979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Thus, i</w:t>
      </w:r>
      <w:r w:rsidR="002B433D" w:rsidRPr="00F95304">
        <w:rPr>
          <w:rFonts w:ascii="Times New Roman" w:hAnsi="Times New Roman"/>
          <w:color w:val="000000" w:themeColor="text1"/>
          <w:sz w:val="24"/>
          <w:szCs w:val="24"/>
        </w:rPr>
        <w:t>n this a</w:t>
      </w:r>
      <w:r w:rsidR="00422423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nalysis, realizing how crucial the language in an article is </w:t>
      </w:r>
      <w:r w:rsidR="00DF54DE" w:rsidRPr="00F95304">
        <w:rPr>
          <w:rFonts w:ascii="Times New Roman" w:hAnsi="Times New Roman"/>
          <w:color w:val="000000" w:themeColor="text1"/>
          <w:sz w:val="24"/>
          <w:szCs w:val="24"/>
        </w:rPr>
        <w:t>very important because it</w:t>
      </w:r>
      <w:r w:rsidR="00422423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F54DE" w:rsidRPr="00F95304">
        <w:rPr>
          <w:rFonts w:ascii="Times New Roman" w:hAnsi="Times New Roman"/>
          <w:color w:val="000000" w:themeColor="text1"/>
          <w:sz w:val="24"/>
          <w:szCs w:val="24"/>
        </w:rPr>
        <w:t>plays an essential role in every academic writing of every area.</w:t>
      </w:r>
      <w:r w:rsidR="002D5B7C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5925" w:rsidRPr="00F95304">
        <w:rPr>
          <w:rFonts w:ascii="Times New Roman" w:hAnsi="Times New Roman"/>
          <w:color w:val="000000" w:themeColor="text1"/>
          <w:sz w:val="24"/>
          <w:szCs w:val="24"/>
        </w:rPr>
        <w:t>In addition, t</w:t>
      </w:r>
      <w:r w:rsidR="002D5B7C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he purpose of this study </w:t>
      </w:r>
      <w:r w:rsidR="002D5B7C" w:rsidRPr="00F95304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is to review </w:t>
      </w:r>
      <w:r w:rsidR="00E55925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the </w:t>
      </w:r>
      <w:r w:rsidR="002D5B7C" w:rsidRPr="00F95304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language and </w:t>
      </w:r>
      <w:r w:rsidR="00E55925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some </w:t>
      </w:r>
      <w:r w:rsidR="007C6F0B" w:rsidRPr="00F95304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descriptive </w:t>
      </w:r>
      <w:r w:rsidR="00E55925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skills </w:t>
      </w:r>
      <w:r w:rsidR="002D5B7C" w:rsidRPr="00F95304">
        <w:rPr>
          <w:rFonts w:ascii="Times New Roman" w:hAnsi="Times New Roman"/>
          <w:color w:val="000000" w:themeColor="text1"/>
          <w:kern w:val="2"/>
          <w:sz w:val="24"/>
          <w:szCs w:val="24"/>
        </w:rPr>
        <w:t xml:space="preserve">in </w:t>
      </w:r>
      <w:r w:rsidR="00E55925" w:rsidRPr="00F95304">
        <w:rPr>
          <w:rFonts w:ascii="Times New Roman" w:hAnsi="Times New Roman"/>
          <w:color w:val="000000" w:themeColor="text1"/>
          <w:sz w:val="24"/>
          <w:szCs w:val="24"/>
        </w:rPr>
        <w:t>the field of management</w:t>
      </w:r>
      <w:r w:rsidR="00A4378F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, and analyze the article “Multimarket Contact and Rivalry over Knowledge-based Resources” by </w:t>
      </w:r>
      <w:bookmarkStart w:id="0" w:name="OLE_LINK17"/>
      <w:bookmarkStart w:id="1" w:name="OLE_LINK18"/>
      <w:r w:rsidR="00A4378F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Matt </w:t>
      </w:r>
      <w:proofErr w:type="spellStart"/>
      <w:r w:rsidR="00A4378F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A4378F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and Hun Lee</w:t>
      </w:r>
      <w:r w:rsidR="00764684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(2017), (</w:t>
      </w:r>
      <w:r w:rsidR="00A4378F" w:rsidRPr="00F95304">
        <w:rPr>
          <w:rFonts w:ascii="Times New Roman" w:hAnsi="Times New Roman"/>
          <w:color w:val="000000" w:themeColor="text1"/>
          <w:sz w:val="24"/>
          <w:szCs w:val="24"/>
        </w:rPr>
        <w:t>2508-2531).</w:t>
      </w:r>
      <w:bookmarkEnd w:id="0"/>
      <w:bookmarkEnd w:id="1"/>
    </w:p>
    <w:p w14:paraId="606DE1E4" w14:textId="773126E8" w:rsidR="00402112" w:rsidRPr="006607AD" w:rsidRDefault="00A4378F" w:rsidP="006607AD">
      <w:pPr>
        <w:pStyle w:val="p1"/>
        <w:spacing w:line="480" w:lineRule="auto"/>
        <w:rPr>
          <w:rFonts w:ascii="Times New Roman" w:hAnsi="Times New Roman"/>
          <w:sz w:val="24"/>
          <w:szCs w:val="24"/>
        </w:rPr>
      </w:pPr>
      <w:r w:rsidRPr="00F95304">
        <w:rPr>
          <w:rFonts w:ascii="Times New Roman" w:hAnsi="Times New Roman"/>
          <w:color w:val="000000" w:themeColor="text1"/>
          <w:sz w:val="24"/>
          <w:szCs w:val="24"/>
        </w:rPr>
        <w:tab/>
      </w:r>
      <w:r w:rsidR="00AF6824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According to </w:t>
      </w:r>
      <w:bookmarkStart w:id="2" w:name="OLE_LINK23"/>
      <w:bookmarkStart w:id="3" w:name="OLE_LINK24"/>
      <w:r w:rsidR="00764684" w:rsidRPr="00CB453B">
        <w:rPr>
          <w:rFonts w:ascii="Times New Roman" w:hAnsi="Times New Roman"/>
          <w:color w:val="000000" w:themeColor="text1"/>
          <w:sz w:val="24"/>
          <w:szCs w:val="24"/>
        </w:rPr>
        <w:t>Swales and Feak (22-25)</w:t>
      </w:r>
      <w:bookmarkEnd w:id="2"/>
      <w:bookmarkEnd w:id="3"/>
      <w:r w:rsidR="00764684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F95304" w:rsidRPr="00CB453B">
        <w:rPr>
          <w:rFonts w:ascii="Times New Roman" w:hAnsi="Times New Roman"/>
          <w:color w:val="000000" w:themeColor="text1"/>
          <w:sz w:val="24"/>
          <w:szCs w:val="24"/>
        </w:rPr>
        <w:t>by closely follow the stylistic conventions of the</w:t>
      </w:r>
      <w:r w:rsidR="002F6484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 field when we are </w:t>
      </w:r>
      <w:r w:rsidR="003B491C" w:rsidRPr="00CB453B">
        <w:rPr>
          <w:rFonts w:ascii="Times New Roman" w:hAnsi="Times New Roman"/>
          <w:color w:val="000000" w:themeColor="text1"/>
          <w:sz w:val="24"/>
          <w:szCs w:val="24"/>
        </w:rPr>
        <w:t>writing a formal paper with</w:t>
      </w:r>
      <w:r w:rsidR="003B491C" w:rsidRPr="003B491C">
        <w:rPr>
          <w:rFonts w:ascii="Times New Roman" w:hAnsi="Times New Roman" w:cstheme="minorBidi"/>
          <w:color w:val="000000" w:themeColor="text1"/>
          <w:kern w:val="2"/>
          <w:sz w:val="24"/>
          <w:szCs w:val="24"/>
        </w:rPr>
        <w:t xml:space="preserve"> passive voice, indirect q</w:t>
      </w:r>
      <w:r w:rsidR="003B491C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uestions and concise vocabulary instead of using </w:t>
      </w:r>
      <w:r w:rsidR="00155E20" w:rsidRPr="00CB453B">
        <w:rPr>
          <w:rFonts w:ascii="Times New Roman" w:hAnsi="Times New Roman" w:cstheme="minorBidi"/>
          <w:color w:val="000000" w:themeColor="text1"/>
          <w:kern w:val="2"/>
          <w:sz w:val="24"/>
          <w:szCs w:val="24"/>
        </w:rPr>
        <w:t>contractions, negative forms, vague expressions, and ‘you’ pronoun</w:t>
      </w:r>
      <w:r w:rsidR="0020320A">
        <w:rPr>
          <w:rFonts w:ascii="Times New Roman" w:hAnsi="Times New Roman"/>
          <w:color w:val="000000" w:themeColor="text1"/>
          <w:sz w:val="24"/>
          <w:szCs w:val="24"/>
        </w:rPr>
        <w:t xml:space="preserve"> could be a best way</w:t>
      </w:r>
      <w:r w:rsidR="003B491C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 to</w:t>
      </w:r>
      <w:r w:rsidR="00E45C39">
        <w:rPr>
          <w:rFonts w:ascii="Times New Roman" w:hAnsi="Times New Roman"/>
          <w:color w:val="000000" w:themeColor="text1"/>
          <w:sz w:val="24"/>
          <w:szCs w:val="24"/>
        </w:rPr>
        <w:t xml:space="preserve"> describe the language in a</w:t>
      </w:r>
      <w:r w:rsidR="002F6484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45C39">
        <w:rPr>
          <w:rFonts w:ascii="Times New Roman" w:hAnsi="Times New Roman"/>
          <w:color w:val="000000" w:themeColor="text1"/>
          <w:sz w:val="24"/>
          <w:szCs w:val="24"/>
        </w:rPr>
        <w:t xml:space="preserve">professional </w:t>
      </w:r>
      <w:r w:rsidR="002F6484" w:rsidRPr="00CB453B">
        <w:rPr>
          <w:rFonts w:ascii="Times New Roman" w:hAnsi="Times New Roman"/>
          <w:color w:val="000000" w:themeColor="text1"/>
          <w:sz w:val="24"/>
          <w:szCs w:val="24"/>
        </w:rPr>
        <w:t>way</w:t>
      </w:r>
      <w:r w:rsidR="003B491C" w:rsidRPr="00CB453B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2F6484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 Swales and Feak (22) suggest that it is common in co-authored papers when</w:t>
      </w:r>
      <w:r w:rsidR="00B03B2B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the reader</w:t>
      </w:r>
      <w:r w:rsidR="002F6484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 see “we” pronoun in the article, “</w:t>
      </w:r>
      <w:r w:rsidR="006607AD" w:rsidRPr="006607AD">
        <w:rPr>
          <w:rFonts w:ascii="Times New Roman" w:hAnsi="Times New Roman"/>
          <w:color w:val="000000" w:themeColor="text1"/>
          <w:sz w:val="24"/>
          <w:szCs w:val="24"/>
        </w:rPr>
        <w:t>We argue that the technological quality of the</w:t>
      </w:r>
      <w:r w:rsidR="006607AD">
        <w:rPr>
          <w:color w:val="000000" w:themeColor="text1"/>
        </w:rPr>
        <w:t xml:space="preserve"> </w:t>
      </w:r>
      <w:r w:rsidR="006607AD" w:rsidRPr="006607AD">
        <w:rPr>
          <w:rFonts w:ascii="Times New Roman" w:hAnsi="Times New Roman"/>
          <w:color w:val="000000" w:themeColor="text1"/>
          <w:sz w:val="24"/>
          <w:szCs w:val="24"/>
        </w:rPr>
        <w:t>focal firm’s knowledge will positively moderate the</w:t>
      </w:r>
      <w:r w:rsidR="006607AD">
        <w:rPr>
          <w:color w:val="000000" w:themeColor="text1"/>
        </w:rPr>
        <w:t xml:space="preserve"> </w:t>
      </w:r>
      <w:r w:rsidR="006607AD" w:rsidRPr="006607AD">
        <w:rPr>
          <w:rFonts w:ascii="Times New Roman" w:hAnsi="Times New Roman"/>
          <w:color w:val="000000" w:themeColor="text1"/>
          <w:sz w:val="24"/>
          <w:szCs w:val="24"/>
        </w:rPr>
        <w:t>relationship between MMC and the focal firm’s</w:t>
      </w:r>
      <w:r w:rsidR="006607AD">
        <w:rPr>
          <w:color w:val="000000" w:themeColor="text1"/>
        </w:rPr>
        <w:t xml:space="preserve"> </w:t>
      </w:r>
      <w:r w:rsidR="006607AD" w:rsidRPr="006607AD">
        <w:rPr>
          <w:rFonts w:ascii="Times New Roman" w:hAnsi="Times New Roman"/>
          <w:color w:val="000000" w:themeColor="text1"/>
          <w:sz w:val="24"/>
          <w:szCs w:val="24"/>
        </w:rPr>
        <w:lastRenderedPageBreak/>
        <w:t>decision to protect its knowledge-based resources</w:t>
      </w:r>
      <w:r w:rsidR="006607AD">
        <w:rPr>
          <w:color w:val="000000" w:themeColor="text1"/>
        </w:rPr>
        <w:t xml:space="preserve"> </w:t>
      </w:r>
      <w:r w:rsidR="006607AD" w:rsidRPr="006607AD">
        <w:rPr>
          <w:rFonts w:ascii="Times New Roman" w:hAnsi="Times New Roman"/>
          <w:color w:val="000000" w:themeColor="text1"/>
          <w:sz w:val="24"/>
          <w:szCs w:val="24"/>
        </w:rPr>
        <w:t>from a rival.</w:t>
      </w:r>
      <w:r w:rsidR="00CB453B">
        <w:rPr>
          <w:rFonts w:ascii="Times New Roman" w:hAnsi="Times New Roman"/>
          <w:sz w:val="24"/>
          <w:szCs w:val="24"/>
        </w:rPr>
        <w:t>”</w:t>
      </w:r>
      <w:r w:rsidR="00CB453B" w:rsidRPr="00CB453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4" w:name="OLE_LINK21"/>
      <w:bookmarkStart w:id="5" w:name="OLE_LINK22"/>
      <w:r w:rsidR="00CB453B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CB453B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CB453B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53B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CB453B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CB453B">
        <w:rPr>
          <w:rFonts w:ascii="Times New Roman" w:hAnsi="Times New Roman"/>
          <w:color w:val="000000" w:themeColor="text1"/>
          <w:sz w:val="24"/>
          <w:szCs w:val="24"/>
        </w:rPr>
        <w:t>, 2017),</w:t>
      </w:r>
      <w:r w:rsidR="004D505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B453B"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6607AD">
        <w:rPr>
          <w:rFonts w:ascii="Times New Roman" w:hAnsi="Times New Roman"/>
          <w:color w:val="000000" w:themeColor="text1"/>
          <w:sz w:val="24"/>
          <w:szCs w:val="24"/>
        </w:rPr>
        <w:t>2512</w:t>
      </w:r>
      <w:r w:rsidR="00CB453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B453B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9C70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4"/>
      <w:bookmarkEnd w:id="5"/>
      <w:r w:rsidR="004D505F">
        <w:rPr>
          <w:rFonts w:ascii="Times New Roman" w:hAnsi="Times New Roman"/>
          <w:color w:val="000000" w:themeColor="text1"/>
          <w:sz w:val="24"/>
          <w:szCs w:val="24"/>
        </w:rPr>
        <w:t>Besides, there is no contractions</w:t>
      </w:r>
      <w:r w:rsidR="00976E86">
        <w:rPr>
          <w:rFonts w:ascii="Times New Roman" w:hAnsi="Times New Roman"/>
          <w:color w:val="000000" w:themeColor="text1"/>
          <w:sz w:val="24"/>
          <w:szCs w:val="24"/>
        </w:rPr>
        <w:t xml:space="preserve"> or wordy sentences in the article. For example, “</w:t>
      </w:r>
      <w:r w:rsidR="00074759" w:rsidRPr="00074759">
        <w:rPr>
          <w:rFonts w:ascii="Times New Roman" w:hAnsi="Times New Roman"/>
          <w:color w:val="000000" w:themeColor="text1"/>
          <w:sz w:val="24"/>
          <w:szCs w:val="24"/>
        </w:rPr>
        <w:t>Accordingly, we propose that the mutual forbearance</w:t>
      </w:r>
      <w:r w:rsidR="00074759">
        <w:rPr>
          <w:rFonts w:ascii="Times New Roman" w:hAnsi="Times New Roman"/>
          <w:color w:val="000000" w:themeColor="text1"/>
        </w:rPr>
        <w:t xml:space="preserve"> </w:t>
      </w:r>
      <w:r w:rsidR="00074759" w:rsidRPr="00074759">
        <w:rPr>
          <w:rFonts w:ascii="Times New Roman" w:hAnsi="Times New Roman"/>
          <w:color w:val="000000" w:themeColor="text1"/>
          <w:sz w:val="24"/>
          <w:szCs w:val="24"/>
        </w:rPr>
        <w:t>effect arising from the threat of retaliation</w:t>
      </w:r>
      <w:r w:rsidR="00074759">
        <w:rPr>
          <w:rFonts w:ascii="Times New Roman" w:hAnsi="Times New Roman"/>
          <w:color w:val="000000" w:themeColor="text1"/>
        </w:rPr>
        <w:t xml:space="preserve"> </w:t>
      </w:r>
      <w:r w:rsidR="00074759" w:rsidRPr="00074759">
        <w:rPr>
          <w:rFonts w:ascii="Times New Roman" w:hAnsi="Times New Roman"/>
          <w:color w:val="000000" w:themeColor="text1"/>
          <w:sz w:val="24"/>
          <w:szCs w:val="24"/>
        </w:rPr>
        <w:t>by a rival firm will not occur as MMC pushes</w:t>
      </w:r>
      <w:r w:rsidR="00074759">
        <w:rPr>
          <w:rFonts w:ascii="Times New Roman" w:hAnsi="Times New Roman"/>
          <w:color w:val="000000" w:themeColor="text1"/>
        </w:rPr>
        <w:t xml:space="preserve"> </w:t>
      </w:r>
      <w:r w:rsidR="00074759" w:rsidRPr="00074759">
        <w:rPr>
          <w:rFonts w:ascii="Times New Roman" w:hAnsi="Times New Roman"/>
          <w:color w:val="000000" w:themeColor="text1"/>
          <w:sz w:val="24"/>
          <w:szCs w:val="24"/>
        </w:rPr>
        <w:t>firms to protect knowledge-based resources.</w:t>
      </w:r>
      <w:r w:rsidR="00074759">
        <w:rPr>
          <w:rFonts w:ascii="Times New Roman" w:hAnsi="Times New Roman"/>
          <w:color w:val="000000" w:themeColor="text1"/>
          <w:sz w:val="24"/>
          <w:szCs w:val="24"/>
        </w:rPr>
        <w:t>”</w:t>
      </w:r>
      <w:r w:rsidR="00074759" w:rsidRPr="0007475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759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074759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074759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74759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074759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074759">
        <w:rPr>
          <w:rFonts w:ascii="Times New Roman" w:hAnsi="Times New Roman"/>
          <w:color w:val="000000" w:themeColor="text1"/>
          <w:sz w:val="24"/>
          <w:szCs w:val="24"/>
        </w:rPr>
        <w:t xml:space="preserve">, 2017), </w:t>
      </w:r>
      <w:r w:rsidR="00074759"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74759">
        <w:rPr>
          <w:rFonts w:ascii="Times New Roman" w:hAnsi="Times New Roman"/>
          <w:color w:val="000000" w:themeColor="text1"/>
          <w:sz w:val="24"/>
          <w:szCs w:val="24"/>
        </w:rPr>
        <w:t>2509)</w:t>
      </w:r>
      <w:r w:rsidR="00074759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F6518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Start w:id="6" w:name="OLE_LINK19"/>
      <w:bookmarkStart w:id="7" w:name="OLE_LINK20"/>
      <w:r w:rsidR="00F65189">
        <w:rPr>
          <w:rFonts w:ascii="Times New Roman" w:hAnsi="Times New Roman"/>
          <w:color w:val="000000" w:themeColor="text1"/>
          <w:sz w:val="24"/>
          <w:szCs w:val="24"/>
        </w:rPr>
        <w:t xml:space="preserve">Moreover, </w:t>
      </w:r>
      <w:r w:rsidR="00F65189" w:rsidRPr="00CB453B">
        <w:rPr>
          <w:rFonts w:ascii="Times New Roman" w:hAnsi="Times New Roman"/>
          <w:color w:val="000000" w:themeColor="text1"/>
          <w:sz w:val="24"/>
          <w:szCs w:val="24"/>
        </w:rPr>
        <w:t>Swales and Feak (</w:t>
      </w:r>
      <w:r w:rsidR="00F65189">
        <w:rPr>
          <w:rFonts w:ascii="Times New Roman" w:hAnsi="Times New Roman"/>
          <w:color w:val="000000" w:themeColor="text1"/>
          <w:sz w:val="24"/>
          <w:szCs w:val="24"/>
        </w:rPr>
        <w:t>23</w:t>
      </w:r>
      <w:r w:rsidR="00F65189" w:rsidRPr="00CB453B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F65189">
        <w:rPr>
          <w:rFonts w:ascii="Times New Roman" w:hAnsi="Times New Roman"/>
          <w:color w:val="000000" w:themeColor="text1"/>
          <w:sz w:val="24"/>
          <w:szCs w:val="24"/>
        </w:rPr>
        <w:t xml:space="preserve"> suggest that formal paper usually using indirect questions instead of direct question</w:t>
      </w:r>
      <w:bookmarkEnd w:id="6"/>
      <w:bookmarkEnd w:id="7"/>
      <w:r w:rsidR="00F65189">
        <w:rPr>
          <w:rFonts w:ascii="Times New Roman" w:hAnsi="Times New Roman"/>
          <w:color w:val="000000" w:themeColor="text1"/>
          <w:sz w:val="24"/>
          <w:szCs w:val="24"/>
        </w:rPr>
        <w:t>s.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 xml:space="preserve"> However, it is very interesting that </w:t>
      </w:r>
      <w:proofErr w:type="spellStart"/>
      <w:r w:rsidR="00BB7E06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BB7E06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E06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BB7E06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BB7E06">
        <w:rPr>
          <w:rFonts w:ascii="Times New Roman" w:hAnsi="Times New Roman"/>
          <w:color w:val="000000" w:themeColor="text1"/>
          <w:sz w:val="24"/>
          <w:szCs w:val="24"/>
        </w:rPr>
        <w:t xml:space="preserve"> (2017) 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>use both in the article. An example of a direct question is, “</w:t>
      </w:r>
      <w:r w:rsidR="0055531A" w:rsidRPr="0055531A">
        <w:rPr>
          <w:rFonts w:ascii="Times New Roman" w:hAnsi="Times New Roman"/>
          <w:sz w:val="24"/>
          <w:szCs w:val="24"/>
        </w:rPr>
        <w:t>How does market overlap or MMC affect rivalry between two competitors?</w:t>
      </w:r>
      <w:r w:rsidR="0055531A">
        <w:rPr>
          <w:rFonts w:ascii="Times New Roman" w:hAnsi="Times New Roman"/>
          <w:sz w:val="24"/>
          <w:szCs w:val="24"/>
        </w:rPr>
        <w:t>”</w:t>
      </w:r>
      <w:r w:rsidR="0055531A" w:rsidRPr="00555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55531A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55531A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55531A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 xml:space="preserve">, 2017), </w:t>
      </w:r>
      <w:r w:rsidR="0055531A"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>2508)</w:t>
      </w:r>
      <w:r w:rsidR="0055531A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5553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>Ano</w:t>
      </w:r>
      <w:r w:rsidR="00BB7E06">
        <w:rPr>
          <w:rFonts w:ascii="Times New Roman" w:hAnsi="Times New Roman"/>
          <w:color w:val="000000" w:themeColor="text1"/>
          <w:sz w:val="24"/>
          <w:szCs w:val="24"/>
        </w:rPr>
        <w:t xml:space="preserve">ther aspect, </w:t>
      </w:r>
      <w:proofErr w:type="spellStart"/>
      <w:r w:rsidR="00BB7E06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BB7E06">
        <w:rPr>
          <w:rFonts w:ascii="Times New Roman" w:hAnsi="Times New Roman"/>
          <w:color w:val="000000" w:themeColor="text1"/>
          <w:sz w:val="24"/>
          <w:szCs w:val="24"/>
        </w:rPr>
        <w:t xml:space="preserve"> and Lee use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 xml:space="preserve"> an indirect question when they state, “</w:t>
      </w:r>
      <w:r w:rsidR="0055531A" w:rsidRPr="0055531A">
        <w:rPr>
          <w:rFonts w:ascii="Times New Roman" w:hAnsi="Times New Roman"/>
          <w:sz w:val="24"/>
          <w:szCs w:val="24"/>
        </w:rPr>
        <w:t>Extant research on MMC has not</w:t>
      </w:r>
      <w:r w:rsidR="0055531A">
        <w:rPr>
          <w:rFonts w:ascii="Times New Roman" w:hAnsi="Times New Roman"/>
        </w:rPr>
        <w:t xml:space="preserve"> </w:t>
      </w:r>
      <w:r w:rsidR="0055531A" w:rsidRPr="0055531A">
        <w:rPr>
          <w:rFonts w:ascii="Times New Roman" w:hAnsi="Times New Roman"/>
          <w:sz w:val="24"/>
          <w:szCs w:val="24"/>
        </w:rPr>
        <w:t>fully addressed this tension or examined how</w:t>
      </w:r>
      <w:r w:rsidR="0055531A">
        <w:rPr>
          <w:rFonts w:ascii="Times New Roman" w:hAnsi="Times New Roman"/>
        </w:rPr>
        <w:t xml:space="preserve"> </w:t>
      </w:r>
      <w:r w:rsidR="000433D1" w:rsidRPr="000433D1">
        <w:rPr>
          <w:rFonts w:ascii="Times New Roman" w:hAnsi="Times New Roman"/>
          <w:sz w:val="24"/>
          <w:szCs w:val="24"/>
        </w:rPr>
        <w:t>MMC</w:t>
      </w:r>
      <w:r w:rsidR="000433D1">
        <w:rPr>
          <w:rFonts w:ascii="Times New Roman" w:hAnsi="Times New Roman"/>
        </w:rPr>
        <w:t xml:space="preserve"> </w:t>
      </w:r>
      <w:r w:rsidR="0055531A" w:rsidRPr="0055531A">
        <w:rPr>
          <w:rFonts w:ascii="Times New Roman" w:hAnsi="Times New Roman"/>
          <w:sz w:val="24"/>
          <w:szCs w:val="24"/>
        </w:rPr>
        <w:t>affects the decision to protect a firm’s</w:t>
      </w:r>
      <w:r w:rsidR="0055531A">
        <w:rPr>
          <w:rFonts w:ascii="Times New Roman" w:hAnsi="Times New Roman"/>
        </w:rPr>
        <w:t xml:space="preserve"> </w:t>
      </w:r>
      <w:r w:rsidR="0055531A" w:rsidRPr="0055531A">
        <w:rPr>
          <w:rFonts w:ascii="Times New Roman" w:hAnsi="Times New Roman"/>
          <w:sz w:val="24"/>
          <w:szCs w:val="24"/>
        </w:rPr>
        <w:t>knowledge-based resources from rivals.</w:t>
      </w:r>
      <w:r w:rsidR="000433D1">
        <w:rPr>
          <w:rFonts w:ascii="Times New Roman" w:hAnsi="Times New Roman"/>
          <w:sz w:val="24"/>
          <w:szCs w:val="24"/>
        </w:rPr>
        <w:t>”</w:t>
      </w:r>
      <w:r w:rsidR="000433D1" w:rsidRPr="000433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0433D1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0433D1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0433D1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 xml:space="preserve">, 2017), </w:t>
      </w:r>
      <w:r w:rsidR="000433D1"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>2509)</w:t>
      </w:r>
      <w:r w:rsidR="000433D1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0433D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3EFE69C0" w14:textId="4DCFD2ED" w:rsidR="00B20822" w:rsidRPr="00FF7518" w:rsidRDefault="00207D6D" w:rsidP="00C34F06">
      <w:pPr>
        <w:pStyle w:val="p1"/>
        <w:spacing w:line="480" w:lineRule="auto"/>
        <w:ind w:firstLine="48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Additionally, </w:t>
      </w:r>
      <w:r w:rsidRPr="00207D6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Swales and Feak (22) suggest that some authors prefer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some</w:t>
      </w:r>
      <w:r w:rsidRPr="00207D6D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negative forms over others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because the writing could be seen more</w:t>
      </w:r>
      <w:r w:rsidR="00BB7E06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academic. In this article, the authors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use “few” instead of “not many”. We can seem this when they state, “</w:t>
      </w:r>
      <w:r w:rsidRPr="00207D6D">
        <w:rPr>
          <w:rFonts w:ascii="Times New Roman" w:hAnsi="Times New Roman"/>
          <w:sz w:val="24"/>
          <w:szCs w:val="24"/>
        </w:rPr>
        <w:t>While much of these studies</w:t>
      </w:r>
      <w:r>
        <w:rPr>
          <w:rFonts w:ascii="Times New Roman" w:hAnsi="Times New Roman"/>
        </w:rPr>
        <w:t xml:space="preserve"> </w:t>
      </w:r>
      <w:r w:rsidRPr="00207D6D">
        <w:rPr>
          <w:rFonts w:ascii="Times New Roman" w:hAnsi="Times New Roman"/>
          <w:sz w:val="24"/>
          <w:szCs w:val="24"/>
        </w:rPr>
        <w:t>showed a linear relationship between MMC</w:t>
      </w:r>
      <w:r>
        <w:rPr>
          <w:rFonts w:ascii="Times New Roman" w:hAnsi="Times New Roman"/>
        </w:rPr>
        <w:t xml:space="preserve"> </w:t>
      </w:r>
      <w:r w:rsidRPr="00207D6D">
        <w:rPr>
          <w:rFonts w:ascii="Times New Roman" w:hAnsi="Times New Roman"/>
          <w:sz w:val="24"/>
          <w:szCs w:val="24"/>
        </w:rPr>
        <w:t>and reducing rivalry, a few studies that focused</w:t>
      </w:r>
      <w:r>
        <w:rPr>
          <w:rFonts w:ascii="Times New Roman" w:hAnsi="Times New Roman"/>
        </w:rPr>
        <w:t xml:space="preserve"> </w:t>
      </w:r>
      <w:r w:rsidRPr="00207D6D">
        <w:rPr>
          <w:rFonts w:ascii="Times New Roman" w:hAnsi="Times New Roman"/>
          <w:sz w:val="24"/>
          <w:szCs w:val="24"/>
        </w:rPr>
        <w:t>on market entry demonstrated a curvilinear (or</w:t>
      </w:r>
      <w:r>
        <w:rPr>
          <w:rFonts w:ascii="Times New Roman" w:hAnsi="Times New Roman"/>
        </w:rPr>
        <w:t xml:space="preserve"> </w:t>
      </w:r>
      <w:r w:rsidRPr="00207D6D">
        <w:rPr>
          <w:rFonts w:ascii="Times New Roman" w:hAnsi="Times New Roman"/>
          <w:sz w:val="24"/>
          <w:szCs w:val="24"/>
        </w:rPr>
        <w:t>inverted U-shaped) relationship.</w:t>
      </w:r>
      <w:r>
        <w:rPr>
          <w:rFonts w:ascii="Times New Roman" w:hAnsi="Times New Roman"/>
          <w:sz w:val="24"/>
          <w:szCs w:val="24"/>
        </w:rPr>
        <w:t xml:space="preserve">” </w:t>
      </w:r>
      <w:bookmarkStart w:id="8" w:name="OLE_LINK25"/>
      <w:bookmarkStart w:id="9" w:name="OLE_LINK26"/>
      <w:bookmarkStart w:id="10" w:name="OLE_LINK27"/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2017), </w:t>
      </w:r>
      <w:r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>
        <w:rPr>
          <w:rFonts w:ascii="Times New Roman" w:hAnsi="Times New Roman"/>
          <w:color w:val="000000" w:themeColor="text1"/>
          <w:sz w:val="24"/>
          <w:szCs w:val="24"/>
        </w:rPr>
        <w:t>2509)</w:t>
      </w:r>
      <w:r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76E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bookmarkEnd w:id="8"/>
      <w:bookmarkEnd w:id="9"/>
      <w:bookmarkEnd w:id="10"/>
      <w:r w:rsidR="00BB7E06">
        <w:rPr>
          <w:rFonts w:ascii="Times New Roman" w:hAnsi="Times New Roman"/>
          <w:color w:val="000000" w:themeColor="text1"/>
          <w:sz w:val="24"/>
          <w:szCs w:val="24"/>
        </w:rPr>
        <w:t>Also, a</w:t>
      </w:r>
      <w:r w:rsidR="00C76E02">
        <w:rPr>
          <w:rFonts w:ascii="Times New Roman" w:hAnsi="Times New Roman"/>
          <w:color w:val="000000" w:themeColor="text1"/>
          <w:sz w:val="24"/>
          <w:szCs w:val="24"/>
        </w:rPr>
        <w:t xml:space="preserve">ccording to </w:t>
      </w:r>
      <w:r w:rsidR="00C76E02" w:rsidRPr="00CB453B">
        <w:rPr>
          <w:rFonts w:ascii="Times New Roman" w:hAnsi="Times New Roman"/>
          <w:color w:val="000000" w:themeColor="text1"/>
          <w:sz w:val="24"/>
          <w:szCs w:val="24"/>
        </w:rPr>
        <w:t>Swales and Feak (22-25)</w:t>
      </w:r>
      <w:r w:rsidR="00C76E02">
        <w:rPr>
          <w:rFonts w:ascii="Times New Roman" w:hAnsi="Times New Roman"/>
          <w:color w:val="000000" w:themeColor="text1"/>
          <w:sz w:val="24"/>
          <w:szCs w:val="24"/>
        </w:rPr>
        <w:t xml:space="preserve">, they mention that </w:t>
      </w:r>
      <w:r w:rsidR="00C76E02" w:rsidRPr="00C76E0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adverbs </w:t>
      </w:r>
      <w:r w:rsidR="002673E8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place in mid-position is better than</w:t>
      </w:r>
      <w:r w:rsidR="00C76E02" w:rsidRPr="00C76E0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in the beginning or the end of the se</w:t>
      </w:r>
      <w:r w:rsidR="00C76E0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 xml:space="preserve">ntence. For example, </w:t>
      </w:r>
      <w:r w:rsidR="00500372">
        <w:rPr>
          <w:rFonts w:ascii="Times New Roman" w:eastAsia="Times New Roman" w:hAnsi="Times New Roman"/>
          <w:color w:val="000000" w:themeColor="text1"/>
          <w:sz w:val="24"/>
          <w:szCs w:val="24"/>
          <w:shd w:val="clear" w:color="auto" w:fill="FFFFFF"/>
        </w:rPr>
        <w:t>“</w:t>
      </w:r>
      <w:r w:rsidR="00500372" w:rsidRPr="00500372">
        <w:rPr>
          <w:rFonts w:ascii="Times New Roman" w:hAnsi="Times New Roman"/>
          <w:sz w:val="24"/>
          <w:szCs w:val="24"/>
        </w:rPr>
        <w:t>Multimarket contact (MMC), which is essentially</w:t>
      </w:r>
      <w:r w:rsidR="00500372">
        <w:rPr>
          <w:rFonts w:hint="eastAsia"/>
        </w:rPr>
        <w:t xml:space="preserve"> </w:t>
      </w:r>
      <w:r w:rsidR="00500372" w:rsidRPr="00500372">
        <w:rPr>
          <w:rFonts w:ascii="Times New Roman" w:hAnsi="Times New Roman"/>
          <w:sz w:val="24"/>
          <w:szCs w:val="24"/>
        </w:rPr>
        <w:t>the extent of market overlap between two firms,</w:t>
      </w:r>
      <w:r w:rsidR="00500372">
        <w:rPr>
          <w:rFonts w:hint="eastAsia"/>
        </w:rPr>
        <w:t xml:space="preserve"> </w:t>
      </w:r>
      <w:r w:rsidR="00500372" w:rsidRPr="00500372">
        <w:rPr>
          <w:rFonts w:ascii="Times New Roman" w:hAnsi="Times New Roman"/>
          <w:sz w:val="24"/>
          <w:szCs w:val="24"/>
        </w:rPr>
        <w:t>has been shown to affect the intensity of rivalry</w:t>
      </w:r>
      <w:r w:rsidR="00500372">
        <w:rPr>
          <w:rFonts w:ascii="Times New Roman" w:hAnsi="Times New Roman" w:hint="eastAsia"/>
          <w:sz w:val="24"/>
          <w:szCs w:val="24"/>
        </w:rPr>
        <w:t xml:space="preserve"> </w:t>
      </w:r>
      <w:r w:rsidR="00500372" w:rsidRPr="00500372">
        <w:rPr>
          <w:rFonts w:ascii="Times New Roman" w:hAnsi="Times New Roman"/>
          <w:sz w:val="24"/>
          <w:szCs w:val="24"/>
        </w:rPr>
        <w:t>or multimarket competition.</w:t>
      </w:r>
      <w:r w:rsidR="00500372">
        <w:rPr>
          <w:rFonts w:ascii="Times New Roman" w:hAnsi="Times New Roman"/>
          <w:sz w:val="24"/>
          <w:szCs w:val="24"/>
        </w:rPr>
        <w:t>”</w:t>
      </w:r>
      <w:r w:rsidR="00500372" w:rsidRPr="0050037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372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spellStart"/>
      <w:r w:rsidR="00500372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500372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0037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500372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500372">
        <w:rPr>
          <w:rFonts w:ascii="Times New Roman" w:hAnsi="Times New Roman"/>
          <w:color w:val="000000" w:themeColor="text1"/>
          <w:sz w:val="24"/>
          <w:szCs w:val="24"/>
        </w:rPr>
        <w:t xml:space="preserve">, 2017), </w:t>
      </w:r>
      <w:r w:rsidR="00500372"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500372">
        <w:rPr>
          <w:rFonts w:ascii="Times New Roman" w:hAnsi="Times New Roman"/>
          <w:color w:val="000000" w:themeColor="text1"/>
          <w:sz w:val="24"/>
          <w:szCs w:val="24"/>
        </w:rPr>
        <w:t>2510)</w:t>
      </w:r>
      <w:r w:rsidR="00500372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C56E4E">
        <w:rPr>
          <w:rFonts w:ascii="Times New Roman" w:hAnsi="Times New Roman" w:hint="eastAsia"/>
          <w:color w:val="000000" w:themeColor="text1"/>
          <w:sz w:val="24"/>
          <w:szCs w:val="24"/>
        </w:rPr>
        <w:t xml:space="preserve"> </w:t>
      </w:r>
      <w:r w:rsidR="00FF7518">
        <w:rPr>
          <w:rFonts w:ascii="Times New Roman" w:hAnsi="Times New Roman"/>
          <w:color w:val="000000" w:themeColor="text1"/>
          <w:sz w:val="24"/>
          <w:szCs w:val="24"/>
        </w:rPr>
        <w:t xml:space="preserve">To be worth mentioning, the authors use “etc.” </w:t>
      </w:r>
      <w:r w:rsidR="00E74AA9">
        <w:rPr>
          <w:rFonts w:ascii="Times New Roman" w:hAnsi="Times New Roman"/>
          <w:color w:val="000000" w:themeColor="text1"/>
          <w:sz w:val="24"/>
          <w:szCs w:val="24"/>
        </w:rPr>
        <w:t xml:space="preserve">instead of </w:t>
      </w:r>
      <w:r w:rsidR="0080330C">
        <w:rPr>
          <w:rFonts w:ascii="Times New Roman" w:hAnsi="Times New Roman"/>
          <w:color w:val="000000" w:themeColor="text1"/>
          <w:sz w:val="24"/>
          <w:szCs w:val="24"/>
        </w:rPr>
        <w:t xml:space="preserve">“other advisory committees” </w:t>
      </w:r>
      <w:r w:rsidR="00FF7518">
        <w:rPr>
          <w:rFonts w:ascii="Times New Roman" w:hAnsi="Times New Roman"/>
          <w:color w:val="000000" w:themeColor="text1"/>
          <w:sz w:val="24"/>
          <w:szCs w:val="24"/>
        </w:rPr>
        <w:t>when they state, “</w:t>
      </w:r>
      <w:r w:rsidR="00FF7518" w:rsidRPr="00FF7518">
        <w:rPr>
          <w:rFonts w:ascii="Times New Roman" w:hAnsi="Times New Roman"/>
          <w:sz w:val="24"/>
          <w:szCs w:val="24"/>
        </w:rPr>
        <w:t>Accordingly, we include</w:t>
      </w:r>
      <w:r w:rsidR="00FF7518">
        <w:t xml:space="preserve"> </w:t>
      </w:r>
      <w:r w:rsidR="00FF7518" w:rsidRPr="00FF7518">
        <w:rPr>
          <w:rFonts w:ascii="Times New Roman" w:hAnsi="Times New Roman"/>
          <w:sz w:val="24"/>
          <w:szCs w:val="24"/>
        </w:rPr>
        <w:t>dummy variables for the advisory committees (e.g.,</w:t>
      </w:r>
      <w:r w:rsidR="00FF7518">
        <w:t xml:space="preserve"> </w:t>
      </w:r>
      <w:r w:rsidR="00FF7518" w:rsidRPr="00FF7518">
        <w:rPr>
          <w:rFonts w:ascii="Times New Roman" w:hAnsi="Times New Roman"/>
          <w:sz w:val="24"/>
          <w:szCs w:val="24"/>
        </w:rPr>
        <w:t>Cardiology, Immunology Devices, Microbiology</w:t>
      </w:r>
      <w:r w:rsidR="00FF7518">
        <w:t xml:space="preserve"> </w:t>
      </w:r>
      <w:r w:rsidR="00FF7518" w:rsidRPr="00FF7518">
        <w:rPr>
          <w:rFonts w:ascii="Times New Roman" w:hAnsi="Times New Roman"/>
          <w:sz w:val="24"/>
          <w:szCs w:val="24"/>
        </w:rPr>
        <w:t>Devices, Radiology, etc.)</w:t>
      </w:r>
      <w:r w:rsidR="00B20822">
        <w:rPr>
          <w:rFonts w:ascii="Times New Roman" w:hAnsi="Times New Roman" w:hint="eastAsia"/>
          <w:sz w:val="24"/>
          <w:szCs w:val="24"/>
        </w:rPr>
        <w:t xml:space="preserve"> </w:t>
      </w:r>
      <w:r w:rsidR="00B20822" w:rsidRPr="00B20822">
        <w:rPr>
          <w:rFonts w:ascii="Times New Roman" w:hAnsi="Times New Roman"/>
          <w:sz w:val="24"/>
          <w:szCs w:val="24"/>
        </w:rPr>
        <w:t>that have overseen the</w:t>
      </w:r>
      <w:r w:rsidR="00B20822">
        <w:rPr>
          <w:rFonts w:hint="eastAsia"/>
        </w:rPr>
        <w:t xml:space="preserve"> </w:t>
      </w:r>
      <w:r w:rsidR="00B20822" w:rsidRPr="00B20822">
        <w:rPr>
          <w:rFonts w:ascii="Times New Roman" w:hAnsi="Times New Roman"/>
          <w:sz w:val="24"/>
          <w:szCs w:val="24"/>
        </w:rPr>
        <w:t>approval of the focal firm’s products to</w:t>
      </w:r>
      <w:r w:rsidR="00B20822">
        <w:rPr>
          <w:rFonts w:ascii="Times New Roman" w:hAnsi="Times New Roman" w:hint="eastAsia"/>
          <w:sz w:val="24"/>
          <w:szCs w:val="24"/>
        </w:rPr>
        <w:t xml:space="preserve"> </w:t>
      </w:r>
      <w:r w:rsidR="00B20822">
        <w:rPr>
          <w:rFonts w:ascii="Times New Roman" w:hAnsi="Times New Roman"/>
          <w:sz w:val="24"/>
          <w:szCs w:val="24"/>
        </w:rPr>
        <w:t>….”</w:t>
      </w:r>
      <w:r w:rsidR="00B20822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 w:rsidR="00B20822" w:rsidRPr="00F95304">
        <w:rPr>
          <w:rFonts w:ascii="Times New Roman" w:hAnsi="Times New Roman"/>
          <w:color w:val="000000" w:themeColor="text1"/>
          <w:sz w:val="24"/>
          <w:szCs w:val="24"/>
        </w:rPr>
        <w:t>Theeke</w:t>
      </w:r>
      <w:proofErr w:type="spellEnd"/>
      <w:r w:rsidR="00B20822" w:rsidRPr="00F9530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0822">
        <w:rPr>
          <w:rFonts w:ascii="Times New Roman" w:hAnsi="Times New Roman"/>
          <w:color w:val="000000" w:themeColor="text1"/>
          <w:sz w:val="24"/>
          <w:szCs w:val="24"/>
        </w:rPr>
        <w:t xml:space="preserve">and </w:t>
      </w:r>
      <w:r w:rsidR="00B20822" w:rsidRPr="00F95304">
        <w:rPr>
          <w:rFonts w:ascii="Times New Roman" w:hAnsi="Times New Roman"/>
          <w:color w:val="000000" w:themeColor="text1"/>
          <w:sz w:val="24"/>
          <w:szCs w:val="24"/>
        </w:rPr>
        <w:t>Lee</w:t>
      </w:r>
      <w:r w:rsidR="00B20822">
        <w:rPr>
          <w:rFonts w:ascii="Times New Roman" w:hAnsi="Times New Roman"/>
          <w:color w:val="000000" w:themeColor="text1"/>
          <w:sz w:val="24"/>
          <w:szCs w:val="24"/>
        </w:rPr>
        <w:t xml:space="preserve">, 2017), </w:t>
      </w:r>
      <w:r w:rsidR="00B20822" w:rsidRPr="00F9530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B20822">
        <w:rPr>
          <w:rFonts w:ascii="Times New Roman" w:hAnsi="Times New Roman"/>
          <w:color w:val="000000" w:themeColor="text1"/>
          <w:sz w:val="24"/>
          <w:szCs w:val="24"/>
        </w:rPr>
        <w:t>2516)</w:t>
      </w:r>
      <w:r w:rsidR="00B20822" w:rsidRPr="00F95304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8033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4539A02" w14:textId="110F8E01" w:rsidR="00A97394" w:rsidRDefault="0025468D" w:rsidP="00C34F06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</w:r>
      <w:r w:rsidR="003347F5" w:rsidRPr="00A97394">
        <w:rPr>
          <w:color w:val="000000" w:themeColor="text1"/>
        </w:rPr>
        <w:t>Furthermore,</w:t>
      </w:r>
      <w:r w:rsidR="00302CC5" w:rsidRPr="00A97394">
        <w:rPr>
          <w:color w:val="000000" w:themeColor="text1"/>
        </w:rPr>
        <w:t xml:space="preserve"> the authors</w:t>
      </w:r>
      <w:r w:rsidR="003347F5" w:rsidRPr="00A97394">
        <w:rPr>
          <w:color w:val="000000" w:themeColor="text1"/>
        </w:rPr>
        <w:t xml:space="preserve"> </w:t>
      </w:r>
      <w:r w:rsidR="00302CC5" w:rsidRPr="00A97394">
        <w:rPr>
          <w:color w:val="000000" w:themeColor="text1"/>
        </w:rPr>
        <w:t xml:space="preserve">use </w:t>
      </w:r>
      <w:r w:rsidR="00302CC5" w:rsidRPr="00A97394">
        <w:rPr>
          <w:rFonts w:eastAsia="Times New Roman"/>
          <w:color w:val="000000" w:themeColor="text1"/>
          <w:shd w:val="clear" w:color="auto" w:fill="FFFFFF"/>
        </w:rPr>
        <w:t>specialized language in the article</w:t>
      </w:r>
      <w:r w:rsidR="00BB7E06">
        <w:rPr>
          <w:rFonts w:eastAsia="Times New Roman"/>
          <w:color w:val="000000" w:themeColor="text1"/>
          <w:shd w:val="clear" w:color="auto" w:fill="FFFFFF"/>
        </w:rPr>
        <w:t>. Because</w:t>
      </w:r>
      <w:r w:rsidR="00302CC5" w:rsidRPr="00A97394">
        <w:rPr>
          <w:rFonts w:eastAsia="Times New Roman"/>
          <w:color w:val="000000" w:themeColor="text1"/>
          <w:shd w:val="clear" w:color="auto" w:fill="FFFFFF"/>
        </w:rPr>
        <w:t xml:space="preserve"> their article</w:t>
      </w:r>
      <w:r w:rsidR="00A97394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3347F5" w:rsidRPr="00A97394">
        <w:rPr>
          <w:color w:val="000000" w:themeColor="text1"/>
        </w:rPr>
        <w:t xml:space="preserve">was published by </w:t>
      </w:r>
      <w:r w:rsidR="00A97394" w:rsidRPr="00A97394">
        <w:rPr>
          <w:color w:val="000000" w:themeColor="text1"/>
        </w:rPr>
        <w:t xml:space="preserve">a professional journal in </w:t>
      </w:r>
      <w:r w:rsidR="00BB7E06">
        <w:rPr>
          <w:color w:val="000000" w:themeColor="text1"/>
        </w:rPr>
        <w:t xml:space="preserve">management field which name is </w:t>
      </w:r>
      <w:r w:rsidR="00A97394">
        <w:rPr>
          <w:color w:val="000000" w:themeColor="text1"/>
        </w:rPr>
        <w:t xml:space="preserve">Strategic </w:t>
      </w:r>
      <w:r w:rsidR="00BB7E06">
        <w:rPr>
          <w:color w:val="000000" w:themeColor="text1"/>
        </w:rPr>
        <w:t>Management Journal, t</w:t>
      </w:r>
      <w:r w:rsidR="00302CC5" w:rsidRPr="00A97394">
        <w:rPr>
          <w:color w:val="000000" w:themeColor="text1"/>
        </w:rPr>
        <w:t xml:space="preserve">he content inside </w:t>
      </w:r>
      <w:r w:rsidR="003347F5" w:rsidRPr="00A97394">
        <w:rPr>
          <w:color w:val="000000" w:themeColor="text1"/>
        </w:rPr>
        <w:t>suit</w:t>
      </w:r>
      <w:r w:rsidR="00302CC5" w:rsidRPr="00A97394">
        <w:rPr>
          <w:color w:val="000000" w:themeColor="text1"/>
        </w:rPr>
        <w:t>s</w:t>
      </w:r>
      <w:r w:rsidR="003347F5" w:rsidRPr="00A97394">
        <w:rPr>
          <w:color w:val="000000" w:themeColor="text1"/>
        </w:rPr>
        <w:t xml:space="preserve"> for </w:t>
      </w:r>
      <w:r w:rsidR="00BB7E06">
        <w:rPr>
          <w:color w:val="000000" w:themeColor="text1"/>
        </w:rPr>
        <w:t>the</w:t>
      </w:r>
      <w:r w:rsidR="00A97394" w:rsidRPr="00A97394">
        <w:rPr>
          <w:color w:val="000000" w:themeColor="text1"/>
        </w:rPr>
        <w:t xml:space="preserve"> </w:t>
      </w:r>
      <w:r w:rsidR="00302CC5" w:rsidRPr="00A97394">
        <w:rPr>
          <w:color w:val="000000" w:themeColor="text1"/>
        </w:rPr>
        <w:t>specific audiences such as</w:t>
      </w:r>
      <w:r w:rsidR="00A97394">
        <w:rPr>
          <w:color w:val="000000" w:themeColor="text1"/>
        </w:rPr>
        <w:t xml:space="preserve"> </w:t>
      </w:r>
      <w:r w:rsidR="00302CC5" w:rsidRPr="00A97394">
        <w:rPr>
          <w:rFonts w:eastAsia="Times New Roman"/>
          <w:color w:val="000000" w:themeColor="text1"/>
          <w:shd w:val="clear" w:color="auto" w:fill="FFFFFF"/>
        </w:rPr>
        <w:t>management professionals, researchers</w:t>
      </w:r>
      <w:r w:rsidR="001746B0">
        <w:rPr>
          <w:rFonts w:eastAsia="Times New Roman"/>
          <w:color w:val="000000" w:themeColor="text1"/>
          <w:shd w:val="clear" w:color="auto" w:fill="FFFFFF"/>
        </w:rPr>
        <w:t>,</w:t>
      </w:r>
      <w:r w:rsidR="00302CC5" w:rsidRPr="00A97394">
        <w:rPr>
          <w:rFonts w:eastAsia="Times New Roman"/>
          <w:color w:val="000000" w:themeColor="text1"/>
          <w:shd w:val="clear" w:color="auto" w:fill="FFFFFF"/>
        </w:rPr>
        <w:t xml:space="preserve"> and academicians. Some </w:t>
      </w:r>
      <w:r w:rsidR="00A97394" w:rsidRPr="00A97394">
        <w:rPr>
          <w:rFonts w:eastAsia="Times New Roman"/>
          <w:color w:val="000000" w:themeColor="text1"/>
          <w:shd w:val="clear" w:color="auto" w:fill="FFFFFF"/>
        </w:rPr>
        <w:t>professional terms and contractions might not suit for general audiences</w:t>
      </w:r>
      <w:r w:rsidR="00BB7E06">
        <w:rPr>
          <w:rFonts w:eastAsia="Times New Roman"/>
          <w:color w:val="000000" w:themeColor="text1"/>
          <w:shd w:val="clear" w:color="auto" w:fill="FFFFFF"/>
        </w:rPr>
        <w:t>. For example, the authors use the</w:t>
      </w:r>
      <w:r w:rsidR="00A97394" w:rsidRPr="00A97394">
        <w:rPr>
          <w:rFonts w:eastAsia="Times New Roman"/>
          <w:color w:val="000000" w:themeColor="text1"/>
          <w:shd w:val="clear" w:color="auto" w:fill="FFFFFF"/>
        </w:rPr>
        <w:t xml:space="preserve"> key words such as </w:t>
      </w:r>
      <w:r w:rsidR="00A97394" w:rsidRPr="00A97394">
        <w:rPr>
          <w:color w:val="000000" w:themeColor="text1"/>
        </w:rPr>
        <w:t>multimarket contact, rivalry, knowledge-based resources, patent litigation, and competitive dynamics. (</w:t>
      </w:r>
      <w:proofErr w:type="spellStart"/>
      <w:r w:rsidR="00A97394" w:rsidRPr="00A97394">
        <w:rPr>
          <w:color w:val="000000" w:themeColor="text1"/>
        </w:rPr>
        <w:t>Theeke</w:t>
      </w:r>
      <w:proofErr w:type="spellEnd"/>
      <w:r w:rsidR="00A97394" w:rsidRPr="00A97394">
        <w:rPr>
          <w:color w:val="000000" w:themeColor="text1"/>
        </w:rPr>
        <w:t xml:space="preserve"> and Lee, 2017), (2508).</w:t>
      </w:r>
      <w:r w:rsidR="00697B01">
        <w:rPr>
          <w:color w:val="000000" w:themeColor="text1"/>
        </w:rPr>
        <w:t xml:space="preserve"> </w:t>
      </w:r>
      <w:r w:rsidR="005123DC">
        <w:rPr>
          <w:color w:val="000000" w:themeColor="text1"/>
        </w:rPr>
        <w:t>The authors used two discipline specific acronyms in the article but also mentioned the full form, for example</w:t>
      </w:r>
      <w:r w:rsidR="00BA2559">
        <w:rPr>
          <w:color w:val="000000" w:themeColor="text1"/>
        </w:rPr>
        <w:t>,</w:t>
      </w:r>
      <w:r w:rsidR="005123DC">
        <w:rPr>
          <w:color w:val="000000" w:themeColor="text1"/>
        </w:rPr>
        <w:t xml:space="preserve"> MMC for </w:t>
      </w:r>
      <w:r w:rsidR="005123DC" w:rsidRPr="00A97394">
        <w:rPr>
          <w:color w:val="000000" w:themeColor="text1"/>
        </w:rPr>
        <w:t>multimarket contact</w:t>
      </w:r>
      <w:r w:rsidR="005123DC">
        <w:rPr>
          <w:color w:val="000000" w:themeColor="text1"/>
        </w:rPr>
        <w:t xml:space="preserve"> and SIC for standard industrial classification. The terms in the article are not defined by the authors.</w:t>
      </w:r>
      <w:r w:rsidR="009A21AE">
        <w:rPr>
          <w:color w:val="000000" w:themeColor="text1"/>
        </w:rPr>
        <w:t xml:space="preserve"> A suggestion for general audiences is accumulating more academic knowledge about management could be the best way that helps them </w:t>
      </w:r>
      <w:r w:rsidR="00BB7E06">
        <w:rPr>
          <w:color w:val="000000" w:themeColor="text1"/>
        </w:rPr>
        <w:t xml:space="preserve">to </w:t>
      </w:r>
      <w:r w:rsidR="009A21AE">
        <w:rPr>
          <w:color w:val="000000" w:themeColor="text1"/>
        </w:rPr>
        <w:t>close-read those kinds of articles in the future.</w:t>
      </w:r>
    </w:p>
    <w:p w14:paraId="248DE531" w14:textId="26DBB3EB" w:rsidR="0070743F" w:rsidRPr="0070743F" w:rsidRDefault="00736C7A" w:rsidP="00C34F06">
      <w:pPr>
        <w:spacing w:line="480" w:lineRule="auto"/>
        <w:rPr>
          <w:rFonts w:eastAsia="Times New Roman"/>
          <w:color w:val="000000" w:themeColor="text1"/>
          <w:shd w:val="clear" w:color="auto" w:fill="FFFFFF"/>
        </w:rPr>
      </w:pPr>
      <w:r>
        <w:rPr>
          <w:rFonts w:hint="eastAsia"/>
          <w:color w:val="000000" w:themeColor="text1"/>
        </w:rPr>
        <w:tab/>
      </w:r>
      <w:r w:rsidR="004D6F71">
        <w:rPr>
          <w:color w:val="000000" w:themeColor="text1"/>
        </w:rPr>
        <w:t xml:space="preserve">After viewing this article, we can observe that the frequency of </w:t>
      </w:r>
      <w:r w:rsidR="000D55A8">
        <w:rPr>
          <w:color w:val="000000" w:themeColor="text1"/>
        </w:rPr>
        <w:t>present tenses and past tenses vary</w:t>
      </w:r>
      <w:r w:rsidR="000D55A8">
        <w:rPr>
          <w:rFonts w:hint="eastAsia"/>
          <w:color w:val="000000" w:themeColor="text1"/>
        </w:rPr>
        <w:t xml:space="preserve"> </w:t>
      </w:r>
      <w:r w:rsidR="000D55A8">
        <w:rPr>
          <w:color w:val="000000" w:themeColor="text1"/>
        </w:rPr>
        <w:t xml:space="preserve">by different sections. For example, </w:t>
      </w:r>
      <w:r w:rsidR="00025318">
        <w:rPr>
          <w:color w:val="000000" w:themeColor="text1"/>
        </w:rPr>
        <w:t>the frequency of present tenses in the introduction and discussion section is hig</w:t>
      </w:r>
      <w:r w:rsidR="00FA3239">
        <w:rPr>
          <w:color w:val="000000" w:themeColor="text1"/>
        </w:rPr>
        <w:t>h, but in the method and result</w:t>
      </w:r>
      <w:r w:rsidR="00025318">
        <w:rPr>
          <w:color w:val="000000" w:themeColor="text1"/>
        </w:rPr>
        <w:t xml:space="preserve"> section is low. In contrast, </w:t>
      </w:r>
      <w:r w:rsidR="00025318">
        <w:rPr>
          <w:rFonts w:eastAsia="Times New Roman"/>
          <w:color w:val="000000" w:themeColor="text1"/>
          <w:shd w:val="clear" w:color="auto" w:fill="FFFFFF"/>
        </w:rPr>
        <w:t>past tenses are low</w:t>
      </w:r>
      <w:r w:rsidR="00025318" w:rsidRPr="00025318">
        <w:rPr>
          <w:rFonts w:eastAsia="Times New Roman"/>
          <w:color w:val="000000" w:themeColor="text1"/>
          <w:shd w:val="clear" w:color="auto" w:fill="FFFFFF"/>
        </w:rPr>
        <w:t xml:space="preserve"> frequency </w:t>
      </w:r>
      <w:r w:rsidR="00025318">
        <w:rPr>
          <w:rFonts w:eastAsia="Times New Roman"/>
          <w:color w:val="000000" w:themeColor="text1"/>
          <w:shd w:val="clear" w:color="auto" w:fill="FFFFFF"/>
        </w:rPr>
        <w:t>appear</w:t>
      </w:r>
      <w:r w:rsidR="00025318" w:rsidRPr="00025318">
        <w:rPr>
          <w:rFonts w:eastAsia="Times New Roman"/>
          <w:color w:val="000000" w:themeColor="text1"/>
          <w:shd w:val="clear" w:color="auto" w:fill="FFFFFF"/>
        </w:rPr>
        <w:t xml:space="preserve"> in introduction and discussion</w:t>
      </w:r>
      <w:r w:rsidR="00025318">
        <w:rPr>
          <w:rFonts w:eastAsia="Times New Roman"/>
          <w:color w:val="000000" w:themeColor="text1"/>
          <w:shd w:val="clear" w:color="auto" w:fill="FFFFFF"/>
        </w:rPr>
        <w:t xml:space="preserve"> part</w:t>
      </w:r>
      <w:r w:rsidR="00025318" w:rsidRPr="00025318">
        <w:rPr>
          <w:rFonts w:eastAsia="Times New Roman"/>
          <w:color w:val="000000" w:themeColor="text1"/>
          <w:shd w:val="clear" w:color="auto" w:fill="FFFFFF"/>
        </w:rPr>
        <w:t xml:space="preserve"> and high </w:t>
      </w:r>
      <w:r w:rsidR="00025318">
        <w:rPr>
          <w:rFonts w:eastAsia="Times New Roman"/>
          <w:color w:val="000000" w:themeColor="text1"/>
          <w:shd w:val="clear" w:color="auto" w:fill="FFFFFF"/>
        </w:rPr>
        <w:t xml:space="preserve">frequency </w:t>
      </w:r>
      <w:r w:rsidR="005B7214">
        <w:rPr>
          <w:rFonts w:eastAsia="Times New Roman"/>
          <w:color w:val="000000" w:themeColor="text1"/>
          <w:shd w:val="clear" w:color="auto" w:fill="FFFFFF"/>
        </w:rPr>
        <w:t>in methods and result</w:t>
      </w:r>
      <w:r w:rsidR="00025318">
        <w:rPr>
          <w:rFonts w:eastAsia="Times New Roman"/>
          <w:color w:val="000000" w:themeColor="text1"/>
          <w:shd w:val="clear" w:color="auto" w:fill="FFFFFF"/>
        </w:rPr>
        <w:t xml:space="preserve"> sections. The reason </w:t>
      </w:r>
      <w:r w:rsidR="00025318" w:rsidRPr="00025318">
        <w:rPr>
          <w:rFonts w:eastAsia="Times New Roman"/>
          <w:color w:val="000000" w:themeColor="text1"/>
          <w:shd w:val="clear" w:color="auto" w:fill="FFFFFF"/>
        </w:rPr>
        <w:t xml:space="preserve">why this phenomenon occurs </w:t>
      </w:r>
      <w:r w:rsidR="00025318">
        <w:rPr>
          <w:rFonts w:eastAsia="Times New Roman"/>
          <w:color w:val="000000" w:themeColor="text1"/>
          <w:shd w:val="clear" w:color="auto" w:fill="FFFFFF"/>
        </w:rPr>
        <w:t xml:space="preserve">is </w:t>
      </w:r>
      <w:r w:rsidR="00025318" w:rsidRPr="00025318">
        <w:rPr>
          <w:rFonts w:eastAsia="Times New Roman"/>
          <w:color w:val="000000" w:themeColor="text1"/>
          <w:shd w:val="clear" w:color="auto" w:fill="FFFFFF"/>
        </w:rPr>
        <w:t>because</w:t>
      </w:r>
      <w:r w:rsidR="00025318">
        <w:rPr>
          <w:rFonts w:eastAsia="Times New Roman"/>
          <w:color w:val="000000" w:themeColor="text1"/>
          <w:shd w:val="clear" w:color="auto" w:fill="FFFFFF"/>
        </w:rPr>
        <w:t xml:space="preserve"> </w:t>
      </w:r>
      <w:r w:rsidR="0018029A">
        <w:rPr>
          <w:rFonts w:eastAsia="Times New Roman"/>
          <w:color w:val="000000" w:themeColor="text1"/>
          <w:shd w:val="clear" w:color="auto" w:fill="FFFFFF"/>
        </w:rPr>
        <w:t xml:space="preserve">in the introduction section, the authors inform the reader what are their exigence, purpose, and why they choose this topic. </w:t>
      </w:r>
      <w:r w:rsidR="00960AAF">
        <w:rPr>
          <w:rFonts w:eastAsia="Times New Roman"/>
          <w:color w:val="000000" w:themeColor="text1"/>
          <w:shd w:val="clear" w:color="auto" w:fill="FFFFFF"/>
        </w:rPr>
        <w:t xml:space="preserve">Though </w:t>
      </w:r>
      <w:r w:rsidR="000A6CA2" w:rsidRPr="000A6CA2">
        <w:rPr>
          <w:rFonts w:eastAsia="Times New Roman"/>
          <w:color w:val="000000" w:themeColor="text1"/>
          <w:shd w:val="clear" w:color="auto" w:fill="FFFFFF"/>
        </w:rPr>
        <w:t>in the method and results section,</w:t>
      </w:r>
      <w:r w:rsidR="000A6CA2">
        <w:rPr>
          <w:rFonts w:eastAsia="Times New Roman"/>
          <w:color w:val="000000" w:themeColor="text1"/>
          <w:shd w:val="clear" w:color="auto" w:fill="FFFFFF"/>
        </w:rPr>
        <w:t xml:space="preserve"> they talk about they have already studied some research which are related to their topic. Hence, that is why </w:t>
      </w:r>
      <w:r w:rsidR="000A6CA2" w:rsidRPr="000A6CA2">
        <w:rPr>
          <w:rFonts w:eastAsia="Times New Roman"/>
          <w:color w:val="000000" w:themeColor="text1"/>
          <w:shd w:val="clear" w:color="auto" w:fill="FFFFFF"/>
        </w:rPr>
        <w:t>the frequency of past tenses is higher.</w:t>
      </w:r>
      <w:r w:rsidR="000A6CA2">
        <w:rPr>
          <w:rFonts w:eastAsia="Times New Roman" w:hint="eastAsia"/>
          <w:color w:val="000000" w:themeColor="text1"/>
          <w:shd w:val="clear" w:color="auto" w:fill="FFFFFF"/>
        </w:rPr>
        <w:t xml:space="preserve"> </w:t>
      </w:r>
      <w:r w:rsidR="000A6CA2">
        <w:rPr>
          <w:rFonts w:eastAsia="Times New Roman"/>
          <w:color w:val="000000" w:themeColor="text1"/>
          <w:shd w:val="clear" w:color="auto" w:fill="FFFFFF"/>
        </w:rPr>
        <w:t>Speaking of the frequency of the citation, there is a high fre</w:t>
      </w:r>
      <w:r w:rsidR="00B86E0C">
        <w:rPr>
          <w:rFonts w:eastAsia="Times New Roman"/>
          <w:color w:val="000000" w:themeColor="text1"/>
          <w:shd w:val="clear" w:color="auto" w:fill="FFFFFF"/>
        </w:rPr>
        <w:t>quency in introduction part because the authors use previous research to</w:t>
      </w:r>
      <w:r w:rsidR="0070743F">
        <w:rPr>
          <w:rFonts w:eastAsia="Times New Roman"/>
          <w:color w:val="000000" w:themeColor="text1"/>
          <w:shd w:val="clear" w:color="auto" w:fill="FFFFFF"/>
        </w:rPr>
        <w:t xml:space="preserve"> start </w:t>
      </w:r>
      <w:r w:rsidR="00B86E0C">
        <w:rPr>
          <w:rFonts w:eastAsia="Times New Roman"/>
          <w:color w:val="000000" w:themeColor="text1"/>
          <w:shd w:val="clear" w:color="auto" w:fill="FFFFFF"/>
        </w:rPr>
        <w:t>their topic.</w:t>
      </w:r>
      <w:r w:rsidR="0070743F">
        <w:rPr>
          <w:rFonts w:eastAsia="Times New Roman"/>
          <w:color w:val="000000" w:themeColor="text1"/>
          <w:shd w:val="clear" w:color="auto" w:fill="FFFFFF"/>
        </w:rPr>
        <w:t xml:space="preserve"> And in </w:t>
      </w:r>
      <w:r w:rsidR="0070743F" w:rsidRPr="0070743F">
        <w:rPr>
          <w:rFonts w:eastAsia="Times New Roman"/>
          <w:color w:val="000000" w:themeColor="text1"/>
          <w:shd w:val="clear" w:color="auto" w:fill="FFFFFF"/>
        </w:rPr>
        <w:t>the result and discussion section, the citation frequency is low</w:t>
      </w:r>
      <w:r w:rsidR="0070743F">
        <w:rPr>
          <w:rFonts w:eastAsia="Times New Roman"/>
          <w:color w:val="000000" w:themeColor="text1"/>
          <w:shd w:val="clear" w:color="auto" w:fill="FFFFFF"/>
        </w:rPr>
        <w:t>.</w:t>
      </w:r>
      <w:r w:rsidR="00CC11B6">
        <w:rPr>
          <w:rFonts w:eastAsia="Times New Roman"/>
          <w:color w:val="000000" w:themeColor="text1"/>
          <w:shd w:val="clear" w:color="auto" w:fill="FFFFFF"/>
        </w:rPr>
        <w:t xml:space="preserve"> The content of this part is</w:t>
      </w:r>
      <w:r w:rsidR="0070743F">
        <w:rPr>
          <w:rFonts w:eastAsia="Times New Roman"/>
          <w:color w:val="000000" w:themeColor="text1"/>
          <w:shd w:val="clear" w:color="auto" w:fill="FFFFFF"/>
        </w:rPr>
        <w:t xml:space="preserve"> all their final thinking and own effort for the study.</w:t>
      </w:r>
    </w:p>
    <w:p w14:paraId="5628ABDC" w14:textId="5591FEF5" w:rsidR="000A6CA2" w:rsidRDefault="0070743F" w:rsidP="00214F23">
      <w:pPr>
        <w:spacing w:line="480" w:lineRule="auto"/>
        <w:rPr>
          <w:color w:val="000000" w:themeColor="text1"/>
        </w:rPr>
      </w:pPr>
      <w:r>
        <w:rPr>
          <w:color w:val="000000" w:themeColor="text1"/>
        </w:rPr>
        <w:tab/>
        <w:t>In conclusion, after doing this analysis, this ar</w:t>
      </w:r>
      <w:r w:rsidR="001B59B8">
        <w:rPr>
          <w:color w:val="000000" w:themeColor="text1"/>
        </w:rPr>
        <w:t>ticle can</w:t>
      </w:r>
      <w:r w:rsidR="001770CB">
        <w:rPr>
          <w:color w:val="000000" w:themeColor="text1"/>
        </w:rPr>
        <w:t xml:space="preserve"> be so successful is</w:t>
      </w:r>
      <w:r>
        <w:rPr>
          <w:color w:val="000000" w:themeColor="text1"/>
        </w:rPr>
        <w:t xml:space="preserve"> because the authors real</w:t>
      </w:r>
      <w:r w:rsidR="002420A4">
        <w:rPr>
          <w:color w:val="000000" w:themeColor="text1"/>
        </w:rPr>
        <w:t xml:space="preserve">ly did well in language and </w:t>
      </w:r>
      <w:r>
        <w:rPr>
          <w:color w:val="000000" w:themeColor="text1"/>
        </w:rPr>
        <w:t>grammar choices.</w:t>
      </w:r>
      <w:r w:rsidR="008B494D">
        <w:rPr>
          <w:color w:val="000000" w:themeColor="text1"/>
        </w:rPr>
        <w:t xml:space="preserve"> Although this article primarily</w:t>
      </w:r>
      <w:r w:rsidR="002420A4">
        <w:rPr>
          <w:color w:val="000000" w:themeColor="text1"/>
        </w:rPr>
        <w:t xml:space="preserve"> fits</w:t>
      </w:r>
      <w:r w:rsidR="0041297B">
        <w:rPr>
          <w:color w:val="000000" w:themeColor="text1"/>
        </w:rPr>
        <w:t xml:space="preserve"> some specific</w:t>
      </w:r>
      <w:r w:rsidR="000E3859">
        <w:rPr>
          <w:color w:val="000000" w:themeColor="text1"/>
        </w:rPr>
        <w:t xml:space="preserve"> audiences, </w:t>
      </w:r>
      <w:r w:rsidR="0041297B">
        <w:rPr>
          <w:color w:val="000000" w:themeColor="text1"/>
        </w:rPr>
        <w:t>a general audience with a h</w:t>
      </w:r>
      <w:r w:rsidR="008B494D">
        <w:rPr>
          <w:color w:val="000000" w:themeColor="text1"/>
        </w:rPr>
        <w:t>igh</w:t>
      </w:r>
      <w:r w:rsidR="00CC11B6">
        <w:rPr>
          <w:color w:val="000000" w:themeColor="text1"/>
        </w:rPr>
        <w:t>ly</w:t>
      </w:r>
      <w:r w:rsidR="008B494D">
        <w:rPr>
          <w:color w:val="000000" w:themeColor="text1"/>
        </w:rPr>
        <w:t xml:space="preserve"> relevant knowledge can also understand this article.</w:t>
      </w:r>
    </w:p>
    <w:p w14:paraId="3B79F387" w14:textId="77777777" w:rsidR="00FD3C5B" w:rsidRDefault="00FD3C5B" w:rsidP="00214F23">
      <w:pPr>
        <w:spacing w:line="480" w:lineRule="auto"/>
        <w:rPr>
          <w:color w:val="000000" w:themeColor="text1"/>
        </w:rPr>
      </w:pPr>
    </w:p>
    <w:p w14:paraId="65C230BF" w14:textId="394E0AD5" w:rsidR="00FD3C5B" w:rsidRDefault="00FD3C5B" w:rsidP="00214F23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>Reference</w:t>
      </w:r>
    </w:p>
    <w:p w14:paraId="2318ED03" w14:textId="04329D17" w:rsidR="00D449FA" w:rsidRPr="00214F23" w:rsidRDefault="00D449FA" w:rsidP="00214F23">
      <w:pPr>
        <w:spacing w:line="480" w:lineRule="auto"/>
        <w:ind w:left="480" w:hangingChars="200" w:hanging="480"/>
        <w:rPr>
          <w:color w:val="000000" w:themeColor="text1"/>
        </w:rPr>
      </w:pPr>
      <w:r w:rsidRPr="00D449FA">
        <w:rPr>
          <w:color w:val="000000" w:themeColor="text1"/>
        </w:rPr>
        <w:t>Matt</w:t>
      </w:r>
      <w:r w:rsidR="00214F23">
        <w:rPr>
          <w:color w:val="000000" w:themeColor="text1"/>
        </w:rPr>
        <w:t>,</w:t>
      </w:r>
      <w:r w:rsidRPr="00D449FA">
        <w:rPr>
          <w:color w:val="000000" w:themeColor="text1"/>
        </w:rPr>
        <w:t xml:space="preserve"> T</w:t>
      </w:r>
      <w:r w:rsidR="00214F23">
        <w:rPr>
          <w:color w:val="000000" w:themeColor="text1"/>
        </w:rPr>
        <w:t>., &amp; Hun, L.</w:t>
      </w:r>
      <w:r w:rsidRPr="00D449FA">
        <w:rPr>
          <w:color w:val="000000" w:themeColor="text1"/>
        </w:rPr>
        <w:t xml:space="preserve"> (2017)</w:t>
      </w:r>
      <w:r w:rsidR="00214F23">
        <w:rPr>
          <w:color w:val="000000" w:themeColor="text1"/>
        </w:rPr>
        <w:t xml:space="preserve">. </w:t>
      </w:r>
      <w:r w:rsidRPr="00D449FA">
        <w:rPr>
          <w:color w:val="000000" w:themeColor="text1"/>
        </w:rPr>
        <w:t>Multimarket Contact and Rivalry over Knowledge-based Resources.</w:t>
      </w:r>
      <w:r w:rsidR="00214F23">
        <w:rPr>
          <w:color w:val="000000" w:themeColor="text1"/>
        </w:rPr>
        <w:t xml:space="preserve"> </w:t>
      </w:r>
      <w:r w:rsidRPr="00214F23">
        <w:rPr>
          <w:i/>
          <w:color w:val="000000" w:themeColor="text1"/>
        </w:rPr>
        <w:t>Strategic Management Journal,</w:t>
      </w:r>
      <w:r w:rsidRPr="00214F23">
        <w:rPr>
          <w:rFonts w:eastAsia="Times New Roman"/>
          <w:i/>
          <w:iCs/>
          <w:color w:val="000000" w:themeColor="text1"/>
        </w:rPr>
        <w:t> </w:t>
      </w:r>
      <w:r w:rsidRPr="00214F23">
        <w:rPr>
          <w:rFonts w:eastAsia="Times New Roman"/>
          <w:i/>
          <w:color w:val="000000" w:themeColor="text1"/>
          <w:shd w:val="clear" w:color="auto" w:fill="FFFFFF"/>
        </w:rPr>
        <w:t>38</w:t>
      </w:r>
      <w:r w:rsidRPr="00D449FA">
        <w:rPr>
          <w:rFonts w:eastAsia="Times New Roman"/>
          <w:color w:val="000000" w:themeColor="text1"/>
          <w:shd w:val="clear" w:color="auto" w:fill="FFFFFF"/>
        </w:rPr>
        <w:t>(12): 2508-2531.</w:t>
      </w:r>
    </w:p>
    <w:p w14:paraId="3E9ECE1B" w14:textId="265EE018" w:rsidR="00D449FA" w:rsidRPr="00D449FA" w:rsidRDefault="00D449FA" w:rsidP="00214F23">
      <w:pPr>
        <w:spacing w:line="480" w:lineRule="auto"/>
        <w:ind w:left="480" w:hangingChars="200" w:hanging="480"/>
        <w:rPr>
          <w:color w:val="000000" w:themeColor="text1"/>
        </w:rPr>
      </w:pPr>
      <w:bookmarkStart w:id="11" w:name="_GoBack"/>
      <w:bookmarkEnd w:id="11"/>
      <w:r w:rsidRPr="00D449FA">
        <w:rPr>
          <w:color w:val="000000" w:themeColor="text1"/>
        </w:rPr>
        <w:t>Swales, J</w:t>
      </w:r>
      <w:r w:rsidR="00214F23">
        <w:rPr>
          <w:color w:val="000000" w:themeColor="text1"/>
        </w:rPr>
        <w:t>. M., &amp;</w:t>
      </w:r>
      <w:r w:rsidRPr="00D449FA">
        <w:rPr>
          <w:color w:val="000000" w:themeColor="text1"/>
        </w:rPr>
        <w:t xml:space="preserve"> Christine B. F.</w:t>
      </w:r>
      <w:r w:rsidR="00214F23">
        <w:rPr>
          <w:color w:val="000000" w:themeColor="text1"/>
        </w:rPr>
        <w:t xml:space="preserve"> (2012). </w:t>
      </w:r>
      <w:r w:rsidRPr="00D449FA">
        <w:rPr>
          <w:color w:val="000000" w:themeColor="text1"/>
        </w:rPr>
        <w:t xml:space="preserve">Academic Writing for Graduate Students: Essential Skills and Tasks. </w:t>
      </w:r>
    </w:p>
    <w:p w14:paraId="65D50C84" w14:textId="77777777" w:rsidR="00FD3C5B" w:rsidRPr="00025318" w:rsidRDefault="00FD3C5B" w:rsidP="00FD3C5B">
      <w:pPr>
        <w:spacing w:line="480" w:lineRule="auto"/>
        <w:jc w:val="center"/>
        <w:rPr>
          <w:color w:val="000000" w:themeColor="text1"/>
        </w:rPr>
      </w:pPr>
    </w:p>
    <w:sectPr w:rsidR="00FD3C5B" w:rsidRPr="00025318" w:rsidSect="00B82781">
      <w:pgSz w:w="12240" w:h="15840"/>
      <w:pgMar w:top="1440" w:right="1800" w:bottom="1440" w:left="1800" w:header="720" w:footer="720" w:gutter="0"/>
      <w:cols w:space="720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504992"/>
    <w:multiLevelType w:val="multilevel"/>
    <w:tmpl w:val="3F90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EC"/>
    <w:rsid w:val="00025318"/>
    <w:rsid w:val="00026106"/>
    <w:rsid w:val="000433D1"/>
    <w:rsid w:val="00057598"/>
    <w:rsid w:val="00074759"/>
    <w:rsid w:val="00093404"/>
    <w:rsid w:val="000A6CA2"/>
    <w:rsid w:val="000D55A8"/>
    <w:rsid w:val="000E3859"/>
    <w:rsid w:val="0011292D"/>
    <w:rsid w:val="001555DC"/>
    <w:rsid w:val="00155E20"/>
    <w:rsid w:val="001746B0"/>
    <w:rsid w:val="001770CB"/>
    <w:rsid w:val="0018029A"/>
    <w:rsid w:val="001A28FE"/>
    <w:rsid w:val="001B59B8"/>
    <w:rsid w:val="0020320A"/>
    <w:rsid w:val="002042E5"/>
    <w:rsid w:val="00207D6D"/>
    <w:rsid w:val="00214F23"/>
    <w:rsid w:val="0022515C"/>
    <w:rsid w:val="002420A4"/>
    <w:rsid w:val="0025468D"/>
    <w:rsid w:val="002673E8"/>
    <w:rsid w:val="002B433D"/>
    <w:rsid w:val="002D5B7C"/>
    <w:rsid w:val="002F6484"/>
    <w:rsid w:val="00302CC5"/>
    <w:rsid w:val="003347F5"/>
    <w:rsid w:val="003507A4"/>
    <w:rsid w:val="003B491C"/>
    <w:rsid w:val="00402112"/>
    <w:rsid w:val="0041297B"/>
    <w:rsid w:val="00422423"/>
    <w:rsid w:val="004D505F"/>
    <w:rsid w:val="004D6F71"/>
    <w:rsid w:val="00500372"/>
    <w:rsid w:val="005123DC"/>
    <w:rsid w:val="0055531A"/>
    <w:rsid w:val="005B7214"/>
    <w:rsid w:val="005C7C1D"/>
    <w:rsid w:val="005E0CE2"/>
    <w:rsid w:val="00631195"/>
    <w:rsid w:val="006607AD"/>
    <w:rsid w:val="00697B01"/>
    <w:rsid w:val="006A1C75"/>
    <w:rsid w:val="0070743F"/>
    <w:rsid w:val="00733948"/>
    <w:rsid w:val="00736C7A"/>
    <w:rsid w:val="00761FC4"/>
    <w:rsid w:val="00764684"/>
    <w:rsid w:val="007725AE"/>
    <w:rsid w:val="007C6F0B"/>
    <w:rsid w:val="007F4979"/>
    <w:rsid w:val="0080330C"/>
    <w:rsid w:val="008306E5"/>
    <w:rsid w:val="008361AA"/>
    <w:rsid w:val="008B367F"/>
    <w:rsid w:val="008B494D"/>
    <w:rsid w:val="00960AAF"/>
    <w:rsid w:val="00976E86"/>
    <w:rsid w:val="009A21AE"/>
    <w:rsid w:val="009C7062"/>
    <w:rsid w:val="00A4378F"/>
    <w:rsid w:val="00A97394"/>
    <w:rsid w:val="00AA3019"/>
    <w:rsid w:val="00AF6824"/>
    <w:rsid w:val="00B014AE"/>
    <w:rsid w:val="00B03B2B"/>
    <w:rsid w:val="00B20822"/>
    <w:rsid w:val="00B82781"/>
    <w:rsid w:val="00B86E0C"/>
    <w:rsid w:val="00BA2559"/>
    <w:rsid w:val="00BB7E06"/>
    <w:rsid w:val="00C34F06"/>
    <w:rsid w:val="00C56E4E"/>
    <w:rsid w:val="00C76E02"/>
    <w:rsid w:val="00CB453B"/>
    <w:rsid w:val="00CC11B6"/>
    <w:rsid w:val="00D12D06"/>
    <w:rsid w:val="00D449FA"/>
    <w:rsid w:val="00D93890"/>
    <w:rsid w:val="00DF54DE"/>
    <w:rsid w:val="00E45C39"/>
    <w:rsid w:val="00E55925"/>
    <w:rsid w:val="00E72B0B"/>
    <w:rsid w:val="00E74AA9"/>
    <w:rsid w:val="00E91AEC"/>
    <w:rsid w:val="00F65189"/>
    <w:rsid w:val="00F95304"/>
    <w:rsid w:val="00FA3239"/>
    <w:rsid w:val="00FD3C5B"/>
    <w:rsid w:val="00FE45A4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3D2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76E02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A4378F"/>
    <w:rPr>
      <w:rFonts w:ascii="Helvetica" w:hAnsi="Helvetica"/>
      <w:sz w:val="21"/>
      <w:szCs w:val="21"/>
    </w:rPr>
  </w:style>
  <w:style w:type="character" w:customStyle="1" w:styleId="apple-converted-space">
    <w:name w:val="apple-converted-space"/>
    <w:basedOn w:val="a0"/>
    <w:rsid w:val="00A4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8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909</Words>
  <Characters>5187</Characters>
  <Application>Microsoft Macintosh Word</Application>
  <DocSecurity>0</DocSecurity>
  <Lines>43</Lines>
  <Paragraphs>12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cchow2</dc:creator>
  <cp:keywords/>
  <dc:description/>
  <cp:lastModifiedBy>cchow2</cp:lastModifiedBy>
  <cp:revision>2</cp:revision>
  <dcterms:created xsi:type="dcterms:W3CDTF">2018-04-24T03:28:00Z</dcterms:created>
  <dcterms:modified xsi:type="dcterms:W3CDTF">2018-04-24T03:28:00Z</dcterms:modified>
</cp:coreProperties>
</file>